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C76" w14:textId="79652570" w:rsidR="00B93CC2" w:rsidRDefault="00B93CC2" w:rsidP="008D2BDE">
      <w:pPr>
        <w:spacing w:after="0" w:line="240" w:lineRule="auto"/>
        <w:jc w:val="center"/>
        <w:rPr>
          <w:rFonts w:ascii="Times New Roman" w:hAnsi="Times New Roman" w:cs="Times New Roman"/>
          <w:b/>
          <w:bCs/>
          <w:sz w:val="24"/>
          <w:szCs w:val="24"/>
          <w:u w:val="single"/>
        </w:rPr>
      </w:pPr>
      <w:r w:rsidRPr="007C4FD9">
        <w:rPr>
          <w:rFonts w:ascii="Times New Roman" w:hAnsi="Times New Roman" w:cs="Times New Roman"/>
          <w:b/>
          <w:bCs/>
          <w:noProof/>
          <w:sz w:val="24"/>
          <w:szCs w:val="24"/>
        </w:rPr>
        <w:drawing>
          <wp:inline distT="0" distB="0" distL="0" distR="0" wp14:anchorId="385A307D" wp14:editId="7E79DBC7">
            <wp:extent cx="1439333" cy="62153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0084" cy="652083"/>
                    </a:xfrm>
                    <a:prstGeom prst="rect">
                      <a:avLst/>
                    </a:prstGeom>
                  </pic:spPr>
                </pic:pic>
              </a:graphicData>
            </a:graphic>
          </wp:inline>
        </w:drawing>
      </w:r>
    </w:p>
    <w:p w14:paraId="6A517316" w14:textId="77777777" w:rsidR="007C4FD9" w:rsidRDefault="007C4FD9" w:rsidP="008D2BDE">
      <w:pPr>
        <w:spacing w:after="0" w:line="240" w:lineRule="auto"/>
        <w:jc w:val="center"/>
        <w:rPr>
          <w:rFonts w:ascii="Avenir Next" w:hAnsi="Avenir Next" w:cs="Times New Roman"/>
          <w:b/>
          <w:bCs/>
          <w:sz w:val="24"/>
          <w:szCs w:val="24"/>
        </w:rPr>
      </w:pPr>
    </w:p>
    <w:p w14:paraId="40622208" w14:textId="77777777" w:rsidR="007C4FD9" w:rsidRDefault="003C2F94" w:rsidP="008D2BDE">
      <w:pPr>
        <w:spacing w:after="0" w:line="240" w:lineRule="auto"/>
        <w:jc w:val="center"/>
        <w:rPr>
          <w:rFonts w:ascii="Avenir Next" w:hAnsi="Avenir Next" w:cs="Times New Roman"/>
          <w:b/>
          <w:bCs/>
          <w:sz w:val="24"/>
          <w:szCs w:val="24"/>
        </w:rPr>
      </w:pPr>
      <w:r w:rsidRPr="00B1619D">
        <w:rPr>
          <w:rFonts w:ascii="Avenir Next" w:hAnsi="Avenir Next" w:cs="Times New Roman"/>
          <w:b/>
          <w:bCs/>
          <w:sz w:val="24"/>
          <w:szCs w:val="24"/>
        </w:rPr>
        <w:t xml:space="preserve">2023 Maryland Academy of Family Physicians </w:t>
      </w:r>
    </w:p>
    <w:p w14:paraId="7AAC4793" w14:textId="385C278B" w:rsidR="003C2F94" w:rsidRPr="00B1619D" w:rsidRDefault="003C2F94" w:rsidP="007C4FD9">
      <w:pPr>
        <w:spacing w:after="0" w:line="240" w:lineRule="auto"/>
        <w:jc w:val="center"/>
        <w:rPr>
          <w:rFonts w:ascii="Avenir Next" w:hAnsi="Avenir Next" w:cs="Times New Roman"/>
          <w:b/>
          <w:bCs/>
          <w:sz w:val="24"/>
          <w:szCs w:val="24"/>
        </w:rPr>
      </w:pPr>
      <w:r w:rsidRPr="00B1619D">
        <w:rPr>
          <w:rFonts w:ascii="Avenir Next" w:hAnsi="Avenir Next" w:cs="Times New Roman"/>
          <w:b/>
          <w:bCs/>
          <w:sz w:val="24"/>
          <w:szCs w:val="24"/>
        </w:rPr>
        <w:t>Advocacy Day</w:t>
      </w:r>
      <w:r w:rsidR="007C4FD9">
        <w:rPr>
          <w:rFonts w:ascii="Avenir Next" w:hAnsi="Avenir Next" w:cs="Times New Roman"/>
          <w:b/>
          <w:bCs/>
          <w:sz w:val="24"/>
          <w:szCs w:val="24"/>
        </w:rPr>
        <w:t xml:space="preserve"> </w:t>
      </w:r>
      <w:r w:rsidRPr="00B1619D">
        <w:rPr>
          <w:rFonts w:ascii="Avenir Next" w:hAnsi="Avenir Next" w:cs="Times New Roman"/>
          <w:b/>
          <w:bCs/>
          <w:sz w:val="24"/>
          <w:szCs w:val="24"/>
        </w:rPr>
        <w:t>Priority Issues</w:t>
      </w:r>
    </w:p>
    <w:p w14:paraId="3C0CC265" w14:textId="0A3CA975" w:rsidR="003C2F94" w:rsidRPr="00EE7426" w:rsidRDefault="003C2F94" w:rsidP="003C2F94">
      <w:pPr>
        <w:rPr>
          <w:rFonts w:ascii="Avenir Next" w:hAnsi="Avenir Next" w:cs="Times New Roman"/>
          <w:sz w:val="12"/>
          <w:szCs w:val="12"/>
        </w:rPr>
      </w:pPr>
    </w:p>
    <w:p w14:paraId="3AE79304" w14:textId="6C54A35B" w:rsidR="0097487E" w:rsidRPr="00046DFF" w:rsidRDefault="003C2F94" w:rsidP="00046DFF">
      <w:pPr>
        <w:ind w:left="360"/>
        <w:rPr>
          <w:rFonts w:ascii="Avenir Next" w:hAnsi="Avenir Next" w:cs="Times New Roman"/>
          <w:b/>
          <w:bCs/>
          <w:sz w:val="20"/>
          <w:szCs w:val="20"/>
          <w:u w:val="single"/>
        </w:rPr>
      </w:pPr>
      <w:r w:rsidRPr="00046DFF">
        <w:rPr>
          <w:rFonts w:ascii="Avenir Next" w:hAnsi="Avenir Next" w:cs="Times New Roman"/>
          <w:b/>
          <w:bCs/>
          <w:sz w:val="20"/>
          <w:szCs w:val="20"/>
          <w:u w:val="single"/>
        </w:rPr>
        <w:t>Telehealth</w:t>
      </w:r>
      <w:r w:rsidR="0097487E" w:rsidRPr="00046DFF">
        <w:rPr>
          <w:rFonts w:ascii="Avenir Next" w:hAnsi="Avenir Next" w:cs="Times New Roman"/>
          <w:b/>
          <w:bCs/>
          <w:sz w:val="20"/>
          <w:szCs w:val="20"/>
          <w:u w:val="single"/>
        </w:rPr>
        <w:t xml:space="preserve"> </w:t>
      </w:r>
    </w:p>
    <w:p w14:paraId="54CE1BFE" w14:textId="1B3A5A27" w:rsidR="003C2F94" w:rsidRPr="00EE7426" w:rsidRDefault="003C2F94" w:rsidP="00D751D1">
      <w:pPr>
        <w:pStyle w:val="ListParagraph"/>
        <w:numPr>
          <w:ilvl w:val="1"/>
          <w:numId w:val="1"/>
        </w:numPr>
        <w:jc w:val="both"/>
        <w:rPr>
          <w:rFonts w:ascii="Avenir Next" w:hAnsi="Avenir Next" w:cs="Times New Roman"/>
          <w:sz w:val="20"/>
          <w:szCs w:val="20"/>
        </w:rPr>
      </w:pPr>
      <w:r w:rsidRPr="00EE7426">
        <w:rPr>
          <w:rFonts w:ascii="Avenir Next" w:hAnsi="Avenir Next" w:cs="Times New Roman"/>
          <w:sz w:val="20"/>
          <w:szCs w:val="20"/>
        </w:rPr>
        <w:t>In 2021, the General Assembly enacted legislation to provide physicians and patients with greater flexibility in the use of telehealth in response to the COVID-19 pandemic.</w:t>
      </w:r>
    </w:p>
    <w:p w14:paraId="2FC98960" w14:textId="71FB19E7" w:rsidR="003C2F94" w:rsidRPr="00EE7426" w:rsidRDefault="003C2F94" w:rsidP="00D751D1">
      <w:pPr>
        <w:pStyle w:val="ListParagraph"/>
        <w:numPr>
          <w:ilvl w:val="1"/>
          <w:numId w:val="1"/>
        </w:numPr>
        <w:jc w:val="both"/>
        <w:rPr>
          <w:rFonts w:ascii="Avenir Next" w:hAnsi="Avenir Next" w:cs="Times New Roman"/>
          <w:sz w:val="20"/>
          <w:szCs w:val="20"/>
        </w:rPr>
      </w:pPr>
      <w:r w:rsidRPr="00EE7426">
        <w:rPr>
          <w:rFonts w:ascii="Avenir Next" w:hAnsi="Avenir Next" w:cs="Times New Roman"/>
          <w:sz w:val="20"/>
          <w:szCs w:val="20"/>
        </w:rPr>
        <w:t xml:space="preserve">Two key </w:t>
      </w:r>
      <w:r w:rsidR="003E3DF3" w:rsidRPr="00EE7426">
        <w:rPr>
          <w:rFonts w:ascii="Avenir Next" w:hAnsi="Avenir Next" w:cs="Times New Roman"/>
          <w:sz w:val="20"/>
          <w:szCs w:val="20"/>
        </w:rPr>
        <w:t>components of the 2021 law affecting</w:t>
      </w:r>
      <w:r w:rsidRPr="00EE7426">
        <w:rPr>
          <w:rFonts w:ascii="Avenir Next" w:hAnsi="Avenir Next" w:cs="Times New Roman"/>
          <w:sz w:val="20"/>
          <w:szCs w:val="20"/>
        </w:rPr>
        <w:t xml:space="preserve"> family practice were requirements that: 1) insurance cover audio-only encounters and 2) in-person and telehealth encounters</w:t>
      </w:r>
      <w:r w:rsidR="00265B93" w:rsidRPr="00EE7426">
        <w:rPr>
          <w:rFonts w:ascii="Avenir Next" w:hAnsi="Avenir Next" w:cs="Times New Roman"/>
          <w:sz w:val="20"/>
          <w:szCs w:val="20"/>
        </w:rPr>
        <w:t xml:space="preserve"> be reimbursed equally</w:t>
      </w:r>
      <w:r w:rsidRPr="00EE7426">
        <w:rPr>
          <w:rFonts w:ascii="Avenir Next" w:hAnsi="Avenir Next" w:cs="Times New Roman"/>
          <w:sz w:val="20"/>
          <w:szCs w:val="20"/>
        </w:rPr>
        <w:t>.</w:t>
      </w:r>
      <w:r w:rsidR="003E3DF3" w:rsidRPr="00EE7426">
        <w:rPr>
          <w:rFonts w:ascii="Avenir Next" w:hAnsi="Avenir Next" w:cs="Times New Roman"/>
          <w:sz w:val="20"/>
          <w:szCs w:val="20"/>
        </w:rPr>
        <w:t xml:space="preserve"> These laws </w:t>
      </w:r>
      <w:proofErr w:type="gramStart"/>
      <w:r w:rsidR="003E3DF3" w:rsidRPr="00EE7426">
        <w:rPr>
          <w:rFonts w:ascii="Avenir Next" w:hAnsi="Avenir Next" w:cs="Times New Roman"/>
          <w:sz w:val="20"/>
          <w:szCs w:val="20"/>
        </w:rPr>
        <w:t>will</w:t>
      </w:r>
      <w:proofErr w:type="gramEnd"/>
      <w:r w:rsidR="003E3DF3" w:rsidRPr="00EE7426">
        <w:rPr>
          <w:rFonts w:ascii="Avenir Next" w:hAnsi="Avenir Next" w:cs="Times New Roman"/>
          <w:sz w:val="20"/>
          <w:szCs w:val="20"/>
        </w:rPr>
        <w:t xml:space="preserve"> sunset in 2023 if the General Assembly does not extend them.</w:t>
      </w:r>
    </w:p>
    <w:p w14:paraId="0E66FDEA" w14:textId="518B5742" w:rsidR="003C2F94" w:rsidRPr="00EE7426" w:rsidRDefault="00265B93" w:rsidP="00D751D1">
      <w:pPr>
        <w:pStyle w:val="ListParagraph"/>
        <w:numPr>
          <w:ilvl w:val="1"/>
          <w:numId w:val="1"/>
        </w:numPr>
        <w:jc w:val="both"/>
        <w:rPr>
          <w:rFonts w:ascii="Avenir Next" w:hAnsi="Avenir Next" w:cs="Times New Roman"/>
          <w:sz w:val="20"/>
          <w:szCs w:val="20"/>
        </w:rPr>
      </w:pPr>
      <w:r w:rsidRPr="00EE7426">
        <w:rPr>
          <w:rFonts w:ascii="Avenir Next" w:hAnsi="Avenir Next" w:cs="Times New Roman"/>
          <w:sz w:val="20"/>
          <w:szCs w:val="20"/>
        </w:rPr>
        <w:t>The General Assembly requested a study be done of these and other telehealth policies by the MD Health Care Commission (MHCC), and that study was completed in December of 2022.</w:t>
      </w:r>
    </w:p>
    <w:p w14:paraId="62550D12" w14:textId="26F43D97" w:rsidR="00265B93" w:rsidRPr="00EE7426" w:rsidRDefault="00265B93" w:rsidP="00D751D1">
      <w:pPr>
        <w:pStyle w:val="ListParagraph"/>
        <w:numPr>
          <w:ilvl w:val="1"/>
          <w:numId w:val="1"/>
        </w:numPr>
        <w:jc w:val="both"/>
        <w:rPr>
          <w:rFonts w:ascii="Avenir Next" w:hAnsi="Avenir Next" w:cs="Times New Roman"/>
          <w:sz w:val="20"/>
          <w:szCs w:val="20"/>
        </w:rPr>
      </w:pPr>
      <w:r w:rsidRPr="00EE7426">
        <w:rPr>
          <w:rFonts w:ascii="Avenir Next" w:hAnsi="Avenir Next" w:cs="Times New Roman"/>
          <w:sz w:val="20"/>
          <w:szCs w:val="20"/>
        </w:rPr>
        <w:t>The MHCC recommended that audio only encounters continue to be covered by insurance, and that payment parity continue for a period of 24 months, pending further study.</w:t>
      </w:r>
    </w:p>
    <w:p w14:paraId="1BC394EC" w14:textId="55C030A4" w:rsidR="00265B93" w:rsidRPr="00EE7426" w:rsidRDefault="00265B93" w:rsidP="00D751D1">
      <w:pPr>
        <w:pStyle w:val="ListParagraph"/>
        <w:numPr>
          <w:ilvl w:val="1"/>
          <w:numId w:val="1"/>
        </w:numPr>
        <w:jc w:val="both"/>
        <w:rPr>
          <w:rFonts w:ascii="Avenir Next" w:hAnsi="Avenir Next" w:cs="Times New Roman"/>
          <w:sz w:val="20"/>
          <w:szCs w:val="20"/>
        </w:rPr>
      </w:pPr>
      <w:r w:rsidRPr="00EE7426">
        <w:rPr>
          <w:rFonts w:ascii="Avenir Next" w:hAnsi="Avenir Next" w:cs="Times New Roman"/>
          <w:sz w:val="20"/>
          <w:szCs w:val="20"/>
        </w:rPr>
        <w:t>MDAFP supports making permanent reimbursement for audio only encounters and payment parity.</w:t>
      </w:r>
    </w:p>
    <w:p w14:paraId="4916E9DB" w14:textId="129E67B1" w:rsidR="0097487E" w:rsidRPr="00EE7426" w:rsidRDefault="00D751D1" w:rsidP="00D751D1">
      <w:pPr>
        <w:pStyle w:val="ListParagraph"/>
        <w:numPr>
          <w:ilvl w:val="1"/>
          <w:numId w:val="1"/>
        </w:numPr>
        <w:jc w:val="both"/>
        <w:rPr>
          <w:rFonts w:ascii="Avenir Next" w:hAnsi="Avenir Next" w:cs="Times New Roman"/>
          <w:b/>
          <w:bCs/>
          <w:sz w:val="20"/>
          <w:szCs w:val="20"/>
        </w:rPr>
      </w:pPr>
      <w:r w:rsidRPr="00EE7426">
        <w:rPr>
          <w:rFonts w:ascii="Avenir Next" w:hAnsi="Avenir Next" w:cs="Times New Roman"/>
          <w:b/>
          <w:bCs/>
          <w:sz w:val="20"/>
          <w:szCs w:val="20"/>
        </w:rPr>
        <w:t>Senate Bill 534/House Bill (TBD)</w:t>
      </w:r>
      <w:r w:rsidR="003E3DF3" w:rsidRPr="00EE7426">
        <w:rPr>
          <w:rFonts w:ascii="Avenir Next" w:hAnsi="Avenir Next" w:cs="Times New Roman"/>
          <w:b/>
          <w:bCs/>
          <w:sz w:val="20"/>
          <w:szCs w:val="20"/>
        </w:rPr>
        <w:t xml:space="preserve"> extend these policies and we ask that you SUPPORT them.</w:t>
      </w:r>
    </w:p>
    <w:p w14:paraId="1CD039FA" w14:textId="77777777" w:rsidR="00265B93" w:rsidRPr="00EE7426" w:rsidRDefault="00265B93" w:rsidP="00265B93">
      <w:pPr>
        <w:pStyle w:val="ListParagraph"/>
        <w:ind w:left="1440"/>
        <w:rPr>
          <w:rFonts w:ascii="Avenir Next" w:hAnsi="Avenir Next" w:cs="Times New Roman"/>
          <w:sz w:val="20"/>
          <w:szCs w:val="20"/>
        </w:rPr>
      </w:pPr>
    </w:p>
    <w:p w14:paraId="5326D841" w14:textId="6C652310" w:rsidR="0097487E" w:rsidRPr="00046DFF" w:rsidRDefault="00265B93" w:rsidP="00046DFF">
      <w:pPr>
        <w:ind w:left="360"/>
        <w:rPr>
          <w:rFonts w:ascii="Avenir Next" w:hAnsi="Avenir Next" w:cs="Times New Roman"/>
          <w:b/>
          <w:bCs/>
          <w:sz w:val="20"/>
          <w:szCs w:val="20"/>
          <w:u w:val="single"/>
        </w:rPr>
      </w:pPr>
      <w:r w:rsidRPr="00046DFF">
        <w:rPr>
          <w:rFonts w:ascii="Avenir Next" w:hAnsi="Avenir Next" w:cs="Times New Roman"/>
          <w:b/>
          <w:bCs/>
          <w:sz w:val="20"/>
          <w:szCs w:val="20"/>
          <w:u w:val="single"/>
        </w:rPr>
        <w:t>Utilization Management Reform (Prior Authorization and Step Therapy)</w:t>
      </w:r>
    </w:p>
    <w:p w14:paraId="4888975A" w14:textId="6C3CFA55" w:rsidR="003022C3" w:rsidRPr="00EE7426" w:rsidRDefault="003022C3" w:rsidP="00D751D1">
      <w:pPr>
        <w:pStyle w:val="ListParagraph"/>
        <w:numPr>
          <w:ilvl w:val="1"/>
          <w:numId w:val="1"/>
        </w:numPr>
        <w:spacing w:after="0" w:line="240" w:lineRule="auto"/>
        <w:ind w:left="1080"/>
        <w:jc w:val="both"/>
        <w:rPr>
          <w:rFonts w:ascii="Avenir Next" w:hAnsi="Avenir Next" w:cs="Times New Roman"/>
          <w:b/>
          <w:bCs/>
          <w:sz w:val="20"/>
          <w:szCs w:val="20"/>
        </w:rPr>
      </w:pPr>
      <w:r w:rsidRPr="00EE7426">
        <w:rPr>
          <w:rFonts w:ascii="Avenir Next" w:hAnsi="Avenir Next" w:cs="Times New Roman"/>
          <w:sz w:val="20"/>
          <w:szCs w:val="20"/>
        </w:rPr>
        <w:t xml:space="preserve">Health insurance carriers engage in a process known as “utilization review,” where the carrier reviews a </w:t>
      </w:r>
      <w:r w:rsidR="00B6368E" w:rsidRPr="00EE7426">
        <w:rPr>
          <w:rFonts w:ascii="Avenir Next" w:hAnsi="Avenir Next" w:cs="Times New Roman"/>
          <w:sz w:val="20"/>
          <w:szCs w:val="20"/>
        </w:rPr>
        <w:t>physician’s</w:t>
      </w:r>
      <w:r w:rsidRPr="00EE7426">
        <w:rPr>
          <w:rFonts w:ascii="Avenir Next" w:hAnsi="Avenir Next" w:cs="Times New Roman"/>
          <w:sz w:val="20"/>
          <w:szCs w:val="20"/>
        </w:rPr>
        <w:t xml:space="preserve"> request that a patient receive a certain health care service to determine if the service is medically necessary.  The two most common types </w:t>
      </w:r>
      <w:r w:rsidR="00B6368E" w:rsidRPr="00EE7426">
        <w:rPr>
          <w:rFonts w:ascii="Avenir Next" w:hAnsi="Avenir Next" w:cs="Times New Roman"/>
          <w:sz w:val="20"/>
          <w:szCs w:val="20"/>
        </w:rPr>
        <w:t xml:space="preserve">of review </w:t>
      </w:r>
      <w:r w:rsidRPr="00EE7426">
        <w:rPr>
          <w:rFonts w:ascii="Avenir Next" w:hAnsi="Avenir Next" w:cs="Times New Roman"/>
          <w:sz w:val="20"/>
          <w:szCs w:val="20"/>
        </w:rPr>
        <w:t xml:space="preserve">are “prior authorization,” which is requesting approval in advance from the carrier and “step therapy,” where the patient must try and fail on other medications (often less expensive) before “stepping up” to another medication.   </w:t>
      </w:r>
    </w:p>
    <w:p w14:paraId="5E5434CF" w14:textId="4B2E63B9" w:rsidR="00265B93" w:rsidRPr="00EE7426" w:rsidRDefault="003022C3" w:rsidP="00D751D1">
      <w:pPr>
        <w:pStyle w:val="ListParagraph"/>
        <w:numPr>
          <w:ilvl w:val="1"/>
          <w:numId w:val="1"/>
        </w:numPr>
        <w:spacing w:after="0" w:line="240" w:lineRule="auto"/>
        <w:ind w:left="1080"/>
        <w:jc w:val="both"/>
        <w:rPr>
          <w:rFonts w:ascii="Avenir Next" w:hAnsi="Avenir Next" w:cs="Times New Roman"/>
          <w:b/>
          <w:bCs/>
          <w:sz w:val="20"/>
          <w:szCs w:val="20"/>
        </w:rPr>
      </w:pPr>
      <w:r w:rsidRPr="00EE7426">
        <w:rPr>
          <w:rFonts w:ascii="Avenir Next" w:hAnsi="Avenir Next" w:cs="Times New Roman"/>
          <w:sz w:val="20"/>
          <w:szCs w:val="20"/>
        </w:rPr>
        <w:t>In 2022, the Maryland Insurance Administration (MIA) modified or reversed the carrier’s decision (or the carrier reversed it during the investigation), 72.4% of the time on filed complaints, up from 70.5% in 2021.  This means that in more than 7 out of 10 cases, the MIA ruled that the carrier was wrong, and that the patient should have received the health care service</w:t>
      </w:r>
      <w:r w:rsidR="00B6368E" w:rsidRPr="00EE7426">
        <w:rPr>
          <w:rFonts w:ascii="Avenir Next" w:hAnsi="Avenir Next" w:cs="Times New Roman"/>
          <w:sz w:val="20"/>
          <w:szCs w:val="20"/>
        </w:rPr>
        <w:t xml:space="preserve">. </w:t>
      </w:r>
    </w:p>
    <w:p w14:paraId="7EDE0ED3" w14:textId="04F9FE35" w:rsidR="0097487E" w:rsidRPr="00EE7426" w:rsidRDefault="0097487E" w:rsidP="00D751D1">
      <w:pPr>
        <w:pStyle w:val="ListParagraph"/>
        <w:numPr>
          <w:ilvl w:val="0"/>
          <w:numId w:val="4"/>
        </w:numPr>
        <w:tabs>
          <w:tab w:val="left" w:pos="2260"/>
        </w:tabs>
        <w:spacing w:after="0" w:line="240" w:lineRule="auto"/>
        <w:ind w:left="1080"/>
        <w:jc w:val="both"/>
        <w:rPr>
          <w:rFonts w:ascii="Avenir Next" w:hAnsi="Avenir Next" w:cs="Times New Roman"/>
          <w:sz w:val="20"/>
          <w:szCs w:val="20"/>
        </w:rPr>
      </w:pPr>
      <w:r w:rsidRPr="00EE7426">
        <w:rPr>
          <w:rFonts w:ascii="Avenir Next" w:hAnsi="Avenir Next" w:cs="Times New Roman"/>
          <w:b/>
          <w:bCs/>
          <w:sz w:val="20"/>
          <w:szCs w:val="20"/>
        </w:rPr>
        <w:t>House Bill 305/Senate Bill 308</w:t>
      </w:r>
      <w:r w:rsidRPr="00EE7426">
        <w:rPr>
          <w:rFonts w:ascii="Avenir Next" w:hAnsi="Avenir Next" w:cs="Times New Roman"/>
          <w:sz w:val="20"/>
          <w:szCs w:val="20"/>
        </w:rPr>
        <w:t xml:space="preserve"> have been introduced </w:t>
      </w:r>
      <w:r w:rsidR="00C750CC" w:rsidRPr="00EE7426">
        <w:rPr>
          <w:rFonts w:ascii="Avenir Next" w:hAnsi="Avenir Next" w:cs="Times New Roman"/>
          <w:sz w:val="20"/>
          <w:szCs w:val="20"/>
        </w:rPr>
        <w:t xml:space="preserve">to reform prior authorization, and </w:t>
      </w:r>
      <w:r w:rsidR="00C750CC" w:rsidRPr="00EE7426">
        <w:rPr>
          <w:rFonts w:ascii="Avenir Next" w:hAnsi="Avenir Next" w:cs="Times New Roman"/>
          <w:b/>
          <w:bCs/>
          <w:sz w:val="20"/>
          <w:szCs w:val="20"/>
        </w:rPr>
        <w:t>Senate Bill 515/House Bill (TBD)</w:t>
      </w:r>
      <w:r w:rsidR="00C750CC" w:rsidRPr="00EE7426">
        <w:rPr>
          <w:rFonts w:ascii="Avenir Next" w:hAnsi="Avenir Next" w:cs="Times New Roman"/>
          <w:sz w:val="20"/>
          <w:szCs w:val="20"/>
        </w:rPr>
        <w:t xml:space="preserve"> to reform step therapy. </w:t>
      </w:r>
      <w:r w:rsidR="00D751D1" w:rsidRPr="00EE7426">
        <w:rPr>
          <w:rFonts w:ascii="Avenir Next" w:hAnsi="Avenir Next" w:cs="Times New Roman"/>
          <w:sz w:val="20"/>
          <w:szCs w:val="20"/>
        </w:rPr>
        <w:t>Among other reforms, t</w:t>
      </w:r>
      <w:r w:rsidR="00C750CC" w:rsidRPr="00EE7426">
        <w:rPr>
          <w:rFonts w:ascii="Avenir Next" w:hAnsi="Avenir Next" w:cs="Times New Roman"/>
          <w:sz w:val="20"/>
          <w:szCs w:val="20"/>
        </w:rPr>
        <w:t>hese bills:</w:t>
      </w:r>
    </w:p>
    <w:p w14:paraId="4CAE4442" w14:textId="77777777" w:rsidR="0097487E" w:rsidRPr="00EE7426" w:rsidRDefault="0097487E" w:rsidP="00D751D1">
      <w:pPr>
        <w:pStyle w:val="ListParagraph"/>
        <w:numPr>
          <w:ilvl w:val="2"/>
          <w:numId w:val="1"/>
        </w:numPr>
        <w:jc w:val="both"/>
        <w:rPr>
          <w:rFonts w:ascii="Avenir Next" w:hAnsi="Avenir Next" w:cs="Times New Roman"/>
          <w:sz w:val="20"/>
          <w:szCs w:val="20"/>
        </w:rPr>
      </w:pPr>
      <w:r w:rsidRPr="00EE7426">
        <w:rPr>
          <w:rFonts w:ascii="Avenir Next" w:hAnsi="Avenir Next" w:cs="Times New Roman"/>
          <w:sz w:val="20"/>
          <w:szCs w:val="20"/>
        </w:rPr>
        <w:t xml:space="preserve">Allow a patient to stay on a prescription drug without another prior authorization if the insurer previously approved the drug and the patient continues to successfully be treated by the drug.  </w:t>
      </w:r>
    </w:p>
    <w:p w14:paraId="7B55BF5F" w14:textId="500B4C12" w:rsidR="0097487E" w:rsidRPr="00EE7426" w:rsidRDefault="0097487E" w:rsidP="00D751D1">
      <w:pPr>
        <w:pStyle w:val="ListParagraph"/>
        <w:numPr>
          <w:ilvl w:val="2"/>
          <w:numId w:val="1"/>
        </w:numPr>
        <w:spacing w:after="0" w:line="240" w:lineRule="auto"/>
        <w:jc w:val="both"/>
        <w:rPr>
          <w:rFonts w:ascii="Avenir Next" w:hAnsi="Avenir Next" w:cs="Times New Roman"/>
          <w:sz w:val="20"/>
          <w:szCs w:val="20"/>
        </w:rPr>
      </w:pPr>
      <w:r w:rsidRPr="00EE7426">
        <w:rPr>
          <w:rFonts w:ascii="Avenir Next" w:hAnsi="Avenir Next" w:cs="Times New Roman"/>
          <w:sz w:val="20"/>
          <w:szCs w:val="20"/>
        </w:rPr>
        <w:t xml:space="preserve">Exempt from prior authorization prescription drugs under the following circumstances:  a) dosage change provided that the change is consistent with federal FDA labeled dosages; b) generic drugs; and c) a drug bundled under two prescriptions due to differing formulations can only have one prior authorization for both formulations. </w:t>
      </w:r>
    </w:p>
    <w:p w14:paraId="5C723C28" w14:textId="595FBDA5" w:rsidR="0097487E" w:rsidRPr="00EE7426" w:rsidRDefault="0097487E" w:rsidP="00D751D1">
      <w:pPr>
        <w:pStyle w:val="ListParagraph"/>
        <w:numPr>
          <w:ilvl w:val="2"/>
          <w:numId w:val="1"/>
        </w:numPr>
        <w:tabs>
          <w:tab w:val="left" w:pos="2260"/>
        </w:tabs>
        <w:spacing w:after="0" w:line="240" w:lineRule="auto"/>
        <w:jc w:val="both"/>
        <w:rPr>
          <w:rFonts w:ascii="Avenir Next" w:hAnsi="Avenir Next" w:cs="Times New Roman"/>
          <w:sz w:val="20"/>
          <w:szCs w:val="20"/>
        </w:rPr>
      </w:pPr>
      <w:r w:rsidRPr="00EE7426">
        <w:rPr>
          <w:rFonts w:ascii="Avenir Next" w:hAnsi="Avenir Next" w:cs="Times New Roman"/>
          <w:sz w:val="20"/>
          <w:szCs w:val="20"/>
        </w:rPr>
        <w:t>The legislation will require a carrier to establish a process for requesting an exception to a step therapy protocol if, based on the professional judgement of a prescriber, the prescription drug required to be used by a step therapy protocol is not appropriate for the patient.</w:t>
      </w:r>
    </w:p>
    <w:p w14:paraId="48FB520F" w14:textId="34167A4B" w:rsidR="00D751D1" w:rsidRPr="00EE7426" w:rsidRDefault="00D751D1" w:rsidP="00D751D1">
      <w:pPr>
        <w:pStyle w:val="ListParagraph"/>
        <w:numPr>
          <w:ilvl w:val="1"/>
          <w:numId w:val="1"/>
        </w:numPr>
        <w:tabs>
          <w:tab w:val="left" w:pos="2260"/>
        </w:tabs>
        <w:spacing w:after="0" w:line="240" w:lineRule="auto"/>
        <w:jc w:val="both"/>
        <w:rPr>
          <w:rFonts w:ascii="Avenir Next" w:hAnsi="Avenir Next" w:cs="Times New Roman"/>
          <w:sz w:val="20"/>
          <w:szCs w:val="20"/>
        </w:rPr>
      </w:pPr>
      <w:r w:rsidRPr="00EE7426">
        <w:rPr>
          <w:rFonts w:ascii="Avenir Next" w:hAnsi="Avenir Next" w:cs="Times New Roman"/>
          <w:sz w:val="20"/>
          <w:szCs w:val="20"/>
        </w:rPr>
        <w:t>Please SUPPORT this legislation</w:t>
      </w:r>
      <w:r w:rsidR="003E3DF3" w:rsidRPr="00EE7426">
        <w:rPr>
          <w:rFonts w:ascii="Avenir Next" w:hAnsi="Avenir Next" w:cs="Times New Roman"/>
          <w:sz w:val="20"/>
          <w:szCs w:val="20"/>
        </w:rPr>
        <w:t>.</w:t>
      </w:r>
    </w:p>
    <w:sectPr w:rsidR="00D751D1" w:rsidRPr="00EE7426" w:rsidSect="00EE7426">
      <w:pgSz w:w="12240" w:h="15840"/>
      <w:pgMar w:top="1080" w:right="936" w:bottom="1080"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719B1"/>
    <w:multiLevelType w:val="hybridMultilevel"/>
    <w:tmpl w:val="89B8E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80597"/>
    <w:multiLevelType w:val="hybridMultilevel"/>
    <w:tmpl w:val="B61612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962D32"/>
    <w:multiLevelType w:val="hybridMultilevel"/>
    <w:tmpl w:val="0C86D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D643F"/>
    <w:multiLevelType w:val="hybridMultilevel"/>
    <w:tmpl w:val="9F868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061650">
    <w:abstractNumId w:val="0"/>
  </w:num>
  <w:num w:numId="2" w16cid:durableId="299531818">
    <w:abstractNumId w:val="2"/>
  </w:num>
  <w:num w:numId="3" w16cid:durableId="1403481464">
    <w:abstractNumId w:val="3"/>
  </w:num>
  <w:num w:numId="4" w16cid:durableId="89628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94"/>
    <w:rsid w:val="00046DFF"/>
    <w:rsid w:val="0012730F"/>
    <w:rsid w:val="00222C20"/>
    <w:rsid w:val="00265B93"/>
    <w:rsid w:val="00285A4E"/>
    <w:rsid w:val="003022C3"/>
    <w:rsid w:val="003C2F94"/>
    <w:rsid w:val="003D29EC"/>
    <w:rsid w:val="003E3DF3"/>
    <w:rsid w:val="004473FE"/>
    <w:rsid w:val="00773DD4"/>
    <w:rsid w:val="007C4FD9"/>
    <w:rsid w:val="008D2BDE"/>
    <w:rsid w:val="0097487E"/>
    <w:rsid w:val="009A6BDD"/>
    <w:rsid w:val="00B1619D"/>
    <w:rsid w:val="00B6368E"/>
    <w:rsid w:val="00B93CC2"/>
    <w:rsid w:val="00C750CC"/>
    <w:rsid w:val="00D3322F"/>
    <w:rsid w:val="00D751D1"/>
    <w:rsid w:val="00EE74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EC20"/>
  <w15:chartTrackingRefBased/>
  <w15:docId w15:val="{E5971F60-4DD1-4B39-A2AD-A39BDDC9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070EDFEA1D940A3CB988092BD2C27" ma:contentTypeVersion="17" ma:contentTypeDescription="Create a new document." ma:contentTypeScope="" ma:versionID="1279faa47070ab1c7d0a3d1ac1054b34">
  <xsd:schema xmlns:xsd="http://www.w3.org/2001/XMLSchema" xmlns:xs="http://www.w3.org/2001/XMLSchema" xmlns:p="http://schemas.microsoft.com/office/2006/metadata/properties" xmlns:ns2="8f6e5f8f-f4b0-4d40-8178-58c1e6eed948" xmlns:ns3="c9320a2f-71d2-4781-a5ee-842f7f753b5f" targetNamespace="http://schemas.microsoft.com/office/2006/metadata/properties" ma:root="true" ma:fieldsID="4a20f982300bd609a7761e3aac9a6f01" ns2:_="" ns3:_="">
    <xsd:import namespace="8f6e5f8f-f4b0-4d40-8178-58c1e6eed948"/>
    <xsd:import namespace="c9320a2f-71d2-4781-a5ee-842f7f753b5f"/>
    <xsd:element name="properties">
      <xsd:complexType>
        <xsd:sequence>
          <xsd:element name="documentManagement">
            <xsd:complexType>
              <xsd:all>
                <xsd:element ref="ns2:Organizat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e5f8f-f4b0-4d40-8178-58c1e6eed948" elementFormDefault="qualified">
    <xsd:import namespace="http://schemas.microsoft.com/office/2006/documentManagement/types"/>
    <xsd:import namespace="http://schemas.microsoft.com/office/infopath/2007/PartnerControls"/>
    <xsd:element name="Organization" ma:index="8" nillable="true" ma:displayName="Organization" ma:internalName="Organizatio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db43d3-d1df-4012-bfda-47ef8f6193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320a2f-71d2-4781-a5ee-842f7f753b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4c2c8ae-1119-4598-9d15-ebc5c4b512f0}" ma:internalName="TaxCatchAll" ma:showField="CatchAllData" ma:web="c9320a2f-71d2-4781-a5ee-842f7f753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anization xmlns="8f6e5f8f-f4b0-4d40-8178-58c1e6eed948" xsi:nil="true"/>
    <TaxCatchAll xmlns="c9320a2f-71d2-4781-a5ee-842f7f753b5f" xsi:nil="true"/>
    <lcf76f155ced4ddcb4097134ff3c332f xmlns="8f6e5f8f-f4b0-4d40-8178-58c1e6eed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EA78F8-A6B9-45A0-B46D-1B16D2CF19B2}"/>
</file>

<file path=customXml/itemProps2.xml><?xml version="1.0" encoding="utf-8"?>
<ds:datastoreItem xmlns:ds="http://schemas.openxmlformats.org/officeDocument/2006/customXml" ds:itemID="{DCA5475F-77FE-4008-9CEC-70B5173307AD}">
  <ds:schemaRefs>
    <ds:schemaRef ds:uri="http://schemas.microsoft.com/sharepoint/v3/contenttype/forms"/>
  </ds:schemaRefs>
</ds:datastoreItem>
</file>

<file path=customXml/itemProps3.xml><?xml version="1.0" encoding="utf-8"?>
<ds:datastoreItem xmlns:ds="http://schemas.openxmlformats.org/officeDocument/2006/customXml" ds:itemID="{CF16EDAD-670E-4F1A-82D4-66910FD64985}"/>
</file>

<file path=docProps/app.xml><?xml version="1.0" encoding="utf-8"?>
<Properties xmlns="http://schemas.openxmlformats.org/officeDocument/2006/extended-properties" xmlns:vt="http://schemas.openxmlformats.org/officeDocument/2006/docPropsVTypes">
  <Template>Normal.dotm</Template>
  <TotalTime>7</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Wise</dc:creator>
  <cp:keywords/>
  <dc:description/>
  <cp:lastModifiedBy>Becky Wimmer</cp:lastModifiedBy>
  <cp:revision>9</cp:revision>
  <dcterms:created xsi:type="dcterms:W3CDTF">2023-02-07T17:13:00Z</dcterms:created>
  <dcterms:modified xsi:type="dcterms:W3CDTF">2023-02-07T17:22:00Z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0x0101004DA070EDFEA1D940A3CB988092BD2C27</vt:lpwstr>
  </property>
</Properties>
</file>